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zh-CN"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11 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val="zh-CN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zh-CN" w:eastAsia="zh-CN"/>
        </w:rPr>
        <w:t>有关涉侨工作政策摘录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val="zh-CN" w:eastAsia="zh-CN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依据《河南省实施〈中华人民共和国归侨侨眷权益保护法〉办法》和《河南省实施〈中华人民共和国台湾同胞投资保护法〉办法》，归侨、侨眷考生照顾10分录取，台湾同胞投资者及随行眷属、所聘台湾管理人员凭《台湾同胞投资证书》，其子女报考普通高中的，照顾10分录取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下列考生在统考成绩总分基础上加10分投档，达到高校投档条件的，由高校审查决定是否录取：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自主就业的退役士兵；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归侨、归侨子女、华侨子女、台湾省籍考生、侨眷（香港、澳门特别行政区居民居住在本省的眷属可参照执行；入选国家“千人计划”和省“百人计划”的海外高层次留学人才的中国籍子女,参照此条执行）。</w:t>
      </w:r>
    </w:p>
    <w:p>
      <w:pPr>
        <w:ind w:firstLine="640" w:firstLineChars="200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二、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为全面贯彻落实党的侨务方针政策，体现对归侨侨眷侨眷“根据特点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适当照顾”的原则，省政府外侨办、省财政厅、省人社厅等省直九部门共同出台《关于做好困难归侨侨眷扶贫救助工作的实施意见》，对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1969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12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31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日前回国并参加工作的退休归侨发放“早期归侨华侨退休生活补贴”，执行标准为每人每月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100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元，期间从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2015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日起将标准由每人每月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100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元每人每月调整为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zh-CN" w:eastAsia="zh-CN"/>
        </w:rPr>
        <w:t>200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zh-CN" w:eastAsia="zh-CN"/>
        </w:rPr>
        <w:t>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846B1"/>
    <w:rsid w:val="3B872528"/>
    <w:rsid w:val="7E58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hint="eastAsia" w:ascii="Times New Roman" w:hAnsi="Times New Roman" w:eastAsia="Times New Roman" w:cs="Times New Roman"/>
      <w:color w:val="000000"/>
      <w:sz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2020-08-31T08:04:00Z</dcterms:created>
  <dc:creator>陈兆武</dc:creator>
  <cp:lastModifiedBy>陈兆武</cp:lastModifiedBy>
  <dcterms:modified xsi:type="dcterms:W3CDTF">2020-08-31T08:20:17Z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